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24" w:space="1" w:color="000000"/>
        </w:rPr>
      </w:pPr>
      <w:bookmarkStart w:id="0" w:name="zk2635217.htm"/>
      <w:bookmarkStart w:id="1" w:name="kszk2635217"/>
      <w:bookmarkEnd w:id="0"/>
      <w:bookmarkEnd w:id="1"/>
      <w:r>
        <w:rPr>
          <w:bdr w:val="single" w:sz="24" w:space="1" w:color="000000"/>
        </w:rPr>
        <w:t> </w:t>
      </w:r>
    </w:p>
    <w:p>
      <w:pPr>
        <w:pStyle w:val="TextBody"/>
        <w:bidi w:val="0"/>
        <w:spacing w:lineRule="atLeast" w:line="350" w:before="0" w:after="0"/>
        <w:ind w:left="0" w:right="0" w:hanging="0"/>
        <w:jc w:val="center"/>
        <w:rPr>
          <w:caps w:val="false"/>
          <w:smallCaps w:val="false"/>
        </w:rPr>
      </w:pPr>
      <w:r>
        <w:rPr>
          <w:caps w:val="false"/>
          <w:smallCaps w:val="false"/>
        </w:rPr>
        <w:t> </w:t>
      </w:r>
    </w:p>
    <w:p>
      <w:pPr>
        <w:pStyle w:val="TextBody"/>
        <w:bidi w:val="0"/>
        <w:spacing w:lineRule="atLeast" w:line="350"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lineRule="atLeast" w:line="250"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br/>
        <w:t>______________________</w:t>
      </w:r>
    </w:p>
    <w:p>
      <w:pPr>
        <w:pStyle w:val="TextBody"/>
        <w:bidi w:val="0"/>
        <w:spacing w:lineRule="atLeast" w:line="250" w:before="0" w:after="0"/>
        <w:ind w:left="0" w:right="0" w:hanging="0"/>
        <w:jc w:val="center"/>
        <w:rPr>
          <w:caps w:val="false"/>
          <w:smallCaps w:val="false"/>
        </w:rPr>
      </w:pPr>
      <w:r>
        <w:rPr>
          <w:caps w:val="false"/>
          <w:smallCaps w:val="false"/>
        </w:rPr>
        <w:t> </w:t>
      </w:r>
    </w:p>
    <w:p>
      <w:pPr>
        <w:pStyle w:val="TextBody"/>
        <w:bidi w:val="0"/>
        <w:spacing w:lineRule="atLeast" w:line="350"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FORM 6-K</w:t>
      </w:r>
      <w:r>
        <w:rPr>
          <w:rFonts w:ascii="Times New Roman;Times;Serif" w:hAnsi="Times New Roman;Times;Serif"/>
          <w:b w:val="false"/>
          <w:i w:val="false"/>
          <w:caps w:val="false"/>
          <w:smallCaps w:val="false"/>
          <w:sz w:val="20"/>
        </w:rPr>
        <w:t> </w:t>
      </w:r>
    </w:p>
    <w:p>
      <w:pPr>
        <w:pStyle w:val="TextBody"/>
        <w:bidi w:val="0"/>
        <w:spacing w:lineRule="atLeast" w:line="250" w:before="0" w:after="0"/>
        <w:ind w:left="0" w:right="0" w:hanging="0"/>
        <w:jc w:val="center"/>
        <w:rPr>
          <w:caps w:val="false"/>
          <w:smallCaps w:val="false"/>
        </w:rPr>
      </w:pPr>
      <w:r>
        <w:rPr>
          <w:caps w:val="false"/>
          <w:smallCaps w:val="false"/>
        </w:rPr>
        <w:t> </w:t>
      </w:r>
    </w:p>
    <w:p>
      <w:pPr>
        <w:pStyle w:val="TextBody"/>
        <w:bidi w:val="0"/>
        <w:spacing w:lineRule="atLeast" w:line="250"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lineRule="atLeast" w:line="250" w:before="0" w:after="0"/>
        <w:ind w:left="0" w:right="0" w:hanging="0"/>
        <w:jc w:val="center"/>
        <w:rPr>
          <w:caps w:val="false"/>
          <w:smallCaps w:val="false"/>
        </w:rPr>
      </w:pPr>
      <w:r>
        <w:rPr>
          <w:caps w:val="false"/>
          <w:smallCaps w:val="false"/>
        </w:rPr>
        <w:t> </w:t>
      </w:r>
    </w:p>
    <w:p>
      <w:pPr>
        <w:pStyle w:val="TextBody"/>
        <w:bidi w:val="0"/>
        <w:spacing w:lineRule="atLeast" w:line="250"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br/>
        <w:t>Securities Exchange Act of 1934</w:t>
      </w:r>
    </w:p>
    <w:p>
      <w:pPr>
        <w:pStyle w:val="TextBody"/>
        <w:bidi w:val="0"/>
        <w:spacing w:lineRule="atLeast" w:line="250" w:before="0" w:after="0"/>
        <w:ind w:left="0" w:right="0" w:hanging="0"/>
        <w:jc w:val="center"/>
        <w:rPr>
          <w:caps w:val="false"/>
          <w:smallCaps w:val="false"/>
        </w:rPr>
      </w:pPr>
      <w:r>
        <w:rPr>
          <w:caps w:val="false"/>
          <w:smallCaps w:val="false"/>
        </w:rPr>
        <w:t> </w:t>
      </w:r>
    </w:p>
    <w:p>
      <w:pPr>
        <w:pStyle w:val="TextBody"/>
        <w:bidi w:val="0"/>
        <w:spacing w:lineRule="atLeast" w:line="250"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lineRule="atLeast" w:line="250" w:before="0" w:after="0"/>
        <w:ind w:left="0" w:right="0" w:hanging="0"/>
        <w:jc w:val="center"/>
        <w:rPr>
          <w:caps w:val="false"/>
          <w:smallCaps w:val="false"/>
        </w:rPr>
      </w:pPr>
      <w:r>
        <w:rPr>
          <w:caps w:val="false"/>
          <w:smallCaps w:val="false"/>
        </w:rPr>
        <w:t> </w:t>
      </w:r>
    </w:p>
    <w:p>
      <w:pPr>
        <w:pStyle w:val="TextBody"/>
        <w:bidi w:val="0"/>
        <w:spacing w:lineRule="atLeast" w:line="250"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001-36349</w:t>
      </w:r>
    </w:p>
    <w:p>
      <w:pPr>
        <w:pStyle w:val="TextBody"/>
        <w:bidi w:val="0"/>
        <w:spacing w:lineRule="atLeast" w:line="250"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u w:val="single"/>
        </w:rPr>
        <w:t>MediWound Ltd.</w:t>
      </w:r>
      <w:r>
        <w:rPr>
          <w:rFonts w:ascii="Times New Roman;Times;Serif" w:hAnsi="Times New Roman;Times;Serif"/>
          <w:b/>
          <w:i w:val="false"/>
          <w:caps w:val="false"/>
          <w:smallCaps w:val="false"/>
          <w:sz w:val="20"/>
          <w:u w:val="single"/>
        </w:rPr>
        <w:br/>
      </w: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tLeast" w:line="250"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Hayarkon Street</w:t>
      </w:r>
    </w:p>
    <w:p>
      <w:pPr>
        <w:pStyle w:val="TextBody"/>
        <w:bidi w:val="0"/>
        <w:spacing w:lineRule="atLeast" w:line="250"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Yavne, 8122745 Israel</w:t>
      </w:r>
    </w:p>
    <w:p>
      <w:pPr>
        <w:pStyle w:val="TextBody"/>
        <w:bidi w:val="0"/>
        <w:spacing w:lineRule="atLeast" w:line="250"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lineRule="atLeast" w:line="250" w:before="0" w:after="0"/>
        <w:ind w:left="0" w:right="0" w:hanging="0"/>
        <w:jc w:val="center"/>
        <w:rPr>
          <w:caps w:val="false"/>
          <w:smallCaps w:val="false"/>
        </w:rPr>
      </w:pPr>
      <w:r>
        <w:rPr>
          <w:caps w:val="false"/>
          <w:smallCaps w:val="false"/>
        </w:rPr>
        <w:t> </w:t>
      </w:r>
    </w:p>
    <w:p>
      <w:pPr>
        <w:pStyle w:val="TextBody"/>
        <w:bidi w:val="0"/>
        <w:spacing w:lineRule="atLeast" w:line="250"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lineRule="atLeast" w:line="250" w:before="0" w:after="0"/>
        <w:ind w:left="0" w:right="0" w:firstLine="720"/>
        <w:jc w:val="left"/>
        <w:rPr>
          <w:caps w:val="false"/>
          <w:smallCaps w:val="false"/>
        </w:rPr>
      </w:pPr>
      <w:r>
        <w:rPr>
          <w:caps w:val="false"/>
          <w:smallCaps w:val="false"/>
        </w:rPr>
        <w:t> </w:t>
      </w:r>
    </w:p>
    <w:p>
      <w:pPr>
        <w:pStyle w:val="TextBody"/>
        <w:bidi w:val="0"/>
        <w:spacing w:lineRule="atLeast" w:line="250"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lineRule="atLeast" w:line="250"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CONTENTS</w:t>
      </w:r>
      <w:r>
        <w:rPr>
          <w:rFonts w:ascii="Times New Roman;Times;Serif" w:hAnsi="Times New Roman;Times;Serif"/>
          <w:b w:val="false"/>
          <w:i w:val="false"/>
          <w:caps w:val="false"/>
          <w:smallCaps w:val="false"/>
          <w:sz w:val="20"/>
        </w:rPr>
        <w:t> </w:t>
      </w:r>
    </w:p>
    <w:p>
      <w:pPr>
        <w:pStyle w:val="TextBody"/>
        <w:bidi w:val="0"/>
        <w:spacing w:lineRule="atLeast" w:line="250" w:before="0" w:after="0"/>
        <w:ind w:left="0" w:right="0" w:hanging="0"/>
        <w:jc w:val="left"/>
        <w:rPr>
          <w:caps w:val="false"/>
          <w:smallCaps w:val="false"/>
        </w:rPr>
      </w:pPr>
      <w:r>
        <w:rPr>
          <w:caps w:val="false"/>
          <w:smallCaps w:val="false"/>
        </w:rPr>
        <w:t> </w:t>
      </w:r>
    </w:p>
    <w:p>
      <w:pPr>
        <w:pStyle w:val="TextBody"/>
        <w:bidi w:val="0"/>
        <w:spacing w:lineRule="atLeast" w:line="250"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2026 Annual Shareholder Meeting</w:t>
      </w:r>
    </w:p>
    <w:p>
      <w:pPr>
        <w:pStyle w:val="TextBody"/>
        <w:bidi w:val="0"/>
        <w:spacing w:lineRule="atLeast" w:line="250"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MediWound Ltd.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its 2026 annual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At the Meeting, our shareholders voted on a few proposals, each of which is listed below and was described in more detail in our notice and proxy statement for the Meeting, which were attached as Exhibit 99.1 to a Report of Foreign Private Issuer on Form 6-K (a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that we furnished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March 30, 2026. Each of those descriptions is incorporated by reference herein.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presence in person or by proxy at the Meeting of 6,208,465 (or 48.3%) of our outstanding ordinary shares, par value New Israeli Shekels (NIS) 0.07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as of the March 31, 2026 record date for the Meeting, constituting the requisite quorum, each of the following numbered proposals, which was presented for a vote at the Meeting, was approved by the below majorities of our shareholders under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(each majority, as reflected in the percentages presented below, was determined after excluding abstentions, in accordance with the Companies Law):</w:t>
      </w:r>
    </w:p>
    <w:p>
      <w:pPr>
        <w:pStyle w:val="TextBody"/>
        <w:bidi w:val="0"/>
        <w:spacing w:before="0" w:after="0"/>
        <w:ind w:left="0" w:right="0" w:firstLine="709"/>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8"/>
        <w:gridCol w:w="9987"/>
      </w:tblGrid>
      <w:tr>
        <w:trPr/>
        <w:tc>
          <w:tcPr>
            <w:tcW w:w="218" w:type="dxa"/>
            <w:tcBorders/>
            <w:shd w:fill="FFFFFF" w:val="clear"/>
            <w:vAlign w:val="center"/>
          </w:tcPr>
          <w:p>
            <w:pPr>
              <w:pStyle w:val="TableContents"/>
              <w:bidi w:val="0"/>
              <w:spacing w:before="0" w:after="283"/>
              <w:jc w:val="both"/>
              <w:rPr>
                <w:sz w:val="20"/>
              </w:rPr>
            </w:pPr>
            <w:r>
              <w:rPr>
                <w:sz w:val="20"/>
              </w:rPr>
              <w:t>(1)</w:t>
            </w:r>
          </w:p>
        </w:tc>
        <w:tc>
          <w:tcPr>
            <w:tcW w:w="9987" w:type="dxa"/>
            <w:tcBorders/>
            <w:shd w:fill="FFFFFF" w:val="clear"/>
            <w:vAlign w:val="center"/>
          </w:tcPr>
          <w:p>
            <w:pPr>
              <w:pStyle w:val="TableContents"/>
              <w:bidi w:val="0"/>
              <w:spacing w:before="0" w:after="283"/>
              <w:jc w:val="both"/>
              <w:rPr>
                <w:sz w:val="20"/>
              </w:rPr>
            </w:pPr>
            <w:r>
              <w:rPr>
                <w:sz w:val="20"/>
              </w:rPr>
              <w:t>Re-election of each of Mr. Nachum Shamir, Dr. Vickie R. Driver, Mr. David Fox, Mr. Shmuel (Milky) Rubinstein, and Mr. Stephen T. Wills to the Company’s board of directors, or Board, to serve until the next annual general meeting of shareholders of the Company and until their respective successors are duly appointed and qualified, or until their earlier resignation or removal:</w:t>
            </w:r>
          </w:p>
        </w:tc>
      </w:tr>
    </w:tbl>
    <w:p>
      <w:pPr>
        <w:pStyle w:val="TextBody"/>
        <w:bidi w:val="0"/>
        <w:spacing w:lineRule="atLeast" w:line="250" w:before="0" w:after="0"/>
        <w:ind w:left="0" w:right="0" w:hanging="0"/>
        <w:jc w:val="left"/>
        <w:rPr>
          <w:caps w:val="false"/>
          <w:smallCaps w:val="false"/>
        </w:rPr>
      </w:pPr>
      <w:r>
        <w:rPr>
          <w:caps w:val="false"/>
          <w:smallCaps w:val="false"/>
        </w:rPr>
        <w:t> </w:t>
      </w:r>
    </w:p>
    <w:tbl>
      <w:tblPr>
        <w:tblW w:w="7475" w:type="dxa"/>
        <w:jc w:val="left"/>
        <w:tblInd w:w="0" w:type="dxa"/>
        <w:tblLayout w:type="fixed"/>
        <w:tblCellMar>
          <w:top w:w="0" w:type="dxa"/>
          <w:left w:w="0" w:type="dxa"/>
          <w:bottom w:w="28" w:type="dxa"/>
          <w:right w:w="0" w:type="dxa"/>
        </w:tblCellMar>
      </w:tblPr>
      <w:tblGrid>
        <w:gridCol w:w="2765"/>
        <w:gridCol w:w="60"/>
        <w:gridCol w:w="1805"/>
        <w:gridCol w:w="60"/>
        <w:gridCol w:w="1430"/>
        <w:gridCol w:w="60"/>
        <w:gridCol w:w="118"/>
        <w:gridCol w:w="1102"/>
        <w:gridCol w:w="75"/>
      </w:tblGrid>
      <w:tr>
        <w:trPr/>
        <w:tc>
          <w:tcPr>
            <w:tcW w:w="2765" w:type="dxa"/>
            <w:tcBorders>
              <w:bottom w:val="single" w:sz="8" w:space="0" w:color="000000"/>
            </w:tcBorders>
            <w:vAlign w:val="center"/>
          </w:tcPr>
          <w:p>
            <w:pPr>
              <w:pStyle w:val="TableContents"/>
              <w:bidi w:val="0"/>
              <w:spacing w:before="0" w:after="283"/>
              <w:jc w:val="left"/>
              <w:rPr>
                <w:b/>
              </w:rPr>
            </w:pPr>
            <w:r>
              <w:rPr>
                <w:b/>
              </w:rPr>
              <w:t>Name of Director Nominee</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8" w:space="0" w:color="000000"/>
            </w:tcBorders>
            <w:vAlign w:val="center"/>
          </w:tcPr>
          <w:p>
            <w:pPr>
              <w:pStyle w:val="TableContents"/>
              <w:bidi w:val="0"/>
              <w:spacing w:before="0" w:after="283"/>
              <w:jc w:val="center"/>
              <w:rPr>
                <w:b/>
              </w:rPr>
            </w:pPr>
            <w:r>
              <w:rPr>
                <w:b/>
              </w:rPr>
              <w:t>Votes in Favor</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8"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Abstentions</w:t>
            </w:r>
          </w:p>
        </w:tc>
        <w:tc>
          <w:tcPr>
            <w:tcW w:w="75" w:type="dxa"/>
            <w:tcBorders/>
            <w:tcMar>
              <w:bottom w:w="0" w:type="dxa"/>
            </w:tcMar>
            <w:vAlign w:val="center"/>
          </w:tcPr>
          <w:p>
            <w:pPr>
              <w:pStyle w:val="TableContents"/>
              <w:bidi w:val="0"/>
              <w:spacing w:before="0" w:after="283"/>
              <w:jc w:val="center"/>
              <w:rPr/>
            </w:pPr>
            <w:r>
              <w:rPr/>
              <w:t> </w:t>
            </w:r>
          </w:p>
        </w:tc>
      </w:tr>
      <w:tr>
        <w:trPr/>
        <w:tc>
          <w:tcPr>
            <w:tcW w:w="2765" w:type="dxa"/>
            <w:tcBorders/>
            <w:shd w:fill="CCEEFF" w:val="clear"/>
            <w:tcMar>
              <w:bottom w:w="0" w:type="dxa"/>
            </w:tcMar>
            <w:vAlign w:val="center"/>
          </w:tcPr>
          <w:p>
            <w:pPr>
              <w:pStyle w:val="TableContents"/>
              <w:bidi w:val="0"/>
              <w:spacing w:before="0" w:after="283"/>
              <w:jc w:val="left"/>
              <w:rPr/>
            </w:pPr>
            <w:r>
              <w:rPr/>
              <w:t>Nachum Shamir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pPr>
            <w:r>
              <w:rPr/>
              <w:t>6,162,008 (99.3%)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42,782 (0.7%)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3,674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65" w:type="dxa"/>
            <w:tcBorders/>
            <w:shd w:fill="FFFFFF" w:val="clear"/>
            <w:tcMar>
              <w:bottom w:w="0" w:type="dxa"/>
            </w:tcMar>
            <w:vAlign w:val="center"/>
          </w:tcPr>
          <w:p>
            <w:pPr>
              <w:pStyle w:val="TableContents"/>
              <w:bidi w:val="0"/>
              <w:spacing w:before="0" w:after="283"/>
              <w:jc w:val="left"/>
              <w:rPr/>
            </w:pPr>
            <w:r>
              <w:rPr/>
              <w:t>Dr. Vickie R. Driver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283"/>
              <w:jc w:val="right"/>
              <w:rPr/>
            </w:pPr>
            <w:r>
              <w:rPr/>
              <w:t>6,168,784 (99.4%)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34,888 (0.6%)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pPr>
            <w:r>
              <w:rPr/>
              <w:t>4,793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pPr>
            <w:r>
              <w:rPr/>
              <w:t>David Fox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pPr>
            <w:r>
              <w:rPr/>
              <w:t>6,139,229 (99.0%)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64,425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4,810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65" w:type="dxa"/>
            <w:tcBorders/>
            <w:shd w:fill="FFFFFF" w:val="clear"/>
            <w:tcMar>
              <w:bottom w:w="0" w:type="dxa"/>
            </w:tcMar>
            <w:vAlign w:val="center"/>
          </w:tcPr>
          <w:p>
            <w:pPr>
              <w:pStyle w:val="TableContents"/>
              <w:bidi w:val="0"/>
              <w:spacing w:before="0" w:after="283"/>
              <w:jc w:val="left"/>
              <w:rPr/>
            </w:pPr>
            <w:r>
              <w:rPr/>
              <w:t>Shmuel (Milky) Rubinstein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283"/>
              <w:jc w:val="right"/>
              <w:rPr/>
            </w:pPr>
            <w:r>
              <w:rPr/>
              <w:t>6,169,440 (99.5%)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34,215 (0.5%)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pPr>
            <w:r>
              <w:rPr/>
              <w:t>4,810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pPr>
            <w:r>
              <w:rPr/>
              <w:t>Stephen T. Wills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pPr>
            <w:r>
              <w:rPr/>
              <w:t>6,149,332 (99.1%)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54,323 (0.9%)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4,810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tLeast" w:line="250"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3"/>
        <w:gridCol w:w="9992"/>
      </w:tblGrid>
      <w:tr>
        <w:trPr/>
        <w:tc>
          <w:tcPr>
            <w:tcW w:w="213" w:type="dxa"/>
            <w:tcBorders/>
            <w:shd w:fill="FFFFFF" w:val="clear"/>
            <w:vAlign w:val="center"/>
          </w:tcPr>
          <w:p>
            <w:pPr>
              <w:pStyle w:val="TableContents"/>
              <w:bidi w:val="0"/>
              <w:spacing w:before="0" w:after="283"/>
              <w:jc w:val="both"/>
              <w:rPr>
                <w:sz w:val="20"/>
              </w:rPr>
            </w:pPr>
            <w:r>
              <w:rPr>
                <w:sz w:val="20"/>
              </w:rPr>
              <w:t>(2)</w:t>
            </w:r>
          </w:p>
        </w:tc>
        <w:tc>
          <w:tcPr>
            <w:tcW w:w="9992"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Reappointment of Somekh Chaikin, a member firm of KPMG, as the Company’s independent registered public accounting firm for the year ending December 31, 2026 and for the additional period until the next annual general meeting of shareholders of the Company, and authorization of the Board (with power of delegation to its audit committee) to fix the independent registered public accounting firm’s remuneration in accordance with the volume and nature of its services:</w:t>
            </w:r>
          </w:p>
        </w:tc>
      </w:tr>
    </w:tbl>
    <w:p>
      <w:pPr>
        <w:pStyle w:val="TextBody"/>
        <w:bidi w:val="0"/>
        <w:spacing w:lineRule="atLeast" w:line="250"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28" w:type="dxa"/>
          <w:right w:w="0" w:type="dxa"/>
        </w:tblCellMar>
      </w:tblPr>
      <w:tblGrid>
        <w:gridCol w:w="1820"/>
        <w:gridCol w:w="60"/>
        <w:gridCol w:w="1430"/>
        <w:gridCol w:w="60"/>
        <w:gridCol w:w="1220"/>
        <w:gridCol w:w="75"/>
      </w:tblGrid>
      <w:tr>
        <w:trPr/>
        <w:tc>
          <w:tcPr>
            <w:tcW w:w="1820" w:type="dxa"/>
            <w:tcBorders>
              <w:bottom w:val="single" w:sz="8" w:space="0" w:color="000000"/>
            </w:tcBorders>
            <w:vAlign w:val="center"/>
          </w:tcPr>
          <w:p>
            <w:pPr>
              <w:pStyle w:val="TableContents"/>
              <w:bidi w:val="0"/>
              <w:spacing w:before="0" w:after="283"/>
              <w:jc w:val="center"/>
              <w:rPr>
                <w:b/>
              </w:rPr>
            </w:pPr>
            <w:r>
              <w:rPr>
                <w:b/>
              </w:rPr>
              <w:t>Votes in Favor</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8"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b/>
              </w:rPr>
            </w:pPr>
            <w:r>
              <w:rPr>
                <w:b/>
              </w:rPr>
              <w:t>Abstentions</w:t>
            </w:r>
          </w:p>
        </w:tc>
        <w:tc>
          <w:tcPr>
            <w:tcW w:w="75" w:type="dxa"/>
            <w:tcBorders/>
            <w:tcMar>
              <w:bottom w:w="0" w:type="dxa"/>
            </w:tcMar>
            <w:vAlign w:val="center"/>
          </w:tcPr>
          <w:p>
            <w:pPr>
              <w:pStyle w:val="TableContents"/>
              <w:bidi w:val="0"/>
              <w:spacing w:before="0" w:after="283"/>
              <w:jc w:val="center"/>
              <w:rPr/>
            </w:pPr>
            <w:r>
              <w:rPr/>
              <w:t> </w:t>
            </w:r>
          </w:p>
        </w:tc>
      </w:tr>
      <w:tr>
        <w:trPr/>
        <w:tc>
          <w:tcPr>
            <w:tcW w:w="1820" w:type="dxa"/>
            <w:tcBorders/>
            <w:shd w:fill="CCEEFF" w:val="clear"/>
            <w:tcMar>
              <w:bottom w:w="0" w:type="dxa"/>
            </w:tcMar>
            <w:vAlign w:val="center"/>
          </w:tcPr>
          <w:p>
            <w:pPr>
              <w:pStyle w:val="TableContents"/>
              <w:bidi w:val="0"/>
              <w:spacing w:before="0" w:after="283"/>
              <w:jc w:val="center"/>
              <w:rPr/>
            </w:pPr>
            <w:r>
              <w:rPr/>
              <w:t>6,191,209 (99.8%)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15,232 (0.2%)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2,024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tLeast" w:line="250"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48"/>
        <w:gridCol w:w="9957"/>
      </w:tblGrid>
      <w:tr>
        <w:trPr/>
        <w:tc>
          <w:tcPr>
            <w:tcW w:w="248" w:type="dxa"/>
            <w:tcBorders/>
            <w:shd w:fill="FFFFFF" w:val="clear"/>
            <w:vAlign w:val="center"/>
          </w:tcPr>
          <w:p>
            <w:pPr>
              <w:pStyle w:val="TableContents"/>
              <w:bidi w:val="0"/>
              <w:spacing w:before="0" w:after="283"/>
              <w:jc w:val="both"/>
              <w:rPr>
                <w:sz w:val="20"/>
              </w:rPr>
            </w:pPr>
            <w:r>
              <w:rPr>
                <w:sz w:val="20"/>
              </w:rPr>
              <w:t>(3)</w:t>
            </w:r>
          </w:p>
        </w:tc>
        <w:tc>
          <w:tcPr>
            <w:tcW w:w="9957" w:type="dxa"/>
            <w:tcBorders/>
            <w:shd w:fill="FFFFFF" w:val="clear"/>
            <w:vAlign w:val="center"/>
          </w:tcPr>
          <w:p>
            <w:pPr>
              <w:pStyle w:val="TableContents"/>
              <w:bidi w:val="0"/>
              <w:spacing w:before="0" w:after="283"/>
              <w:jc w:val="both"/>
              <w:rPr>
                <w:sz w:val="20"/>
              </w:rPr>
            </w:pPr>
            <w:r>
              <w:rPr>
                <w:sz w:val="20"/>
              </w:rPr>
              <w:t>Approval of the payment of an annual cash bonus to the Company’s Chief Executive Officer, Mr. Ofer Gonen, in respect of his performance in 2025:</w:t>
            </w:r>
          </w:p>
        </w:tc>
      </w:tr>
    </w:tbl>
    <w:p>
      <w:pPr>
        <w:pStyle w:val="TextBody"/>
        <w:bidi w:val="0"/>
        <w:spacing w:lineRule="atLeast" w:line="250"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28" w:type="dxa"/>
          <w:right w:w="0" w:type="dxa"/>
        </w:tblCellMar>
      </w:tblPr>
      <w:tblGrid>
        <w:gridCol w:w="1820"/>
        <w:gridCol w:w="60"/>
        <w:gridCol w:w="1430"/>
        <w:gridCol w:w="60"/>
        <w:gridCol w:w="1220"/>
        <w:gridCol w:w="75"/>
      </w:tblGrid>
      <w:tr>
        <w:trPr/>
        <w:tc>
          <w:tcPr>
            <w:tcW w:w="1820" w:type="dxa"/>
            <w:tcBorders>
              <w:bottom w:val="single" w:sz="8" w:space="0" w:color="000000"/>
            </w:tcBorders>
            <w:vAlign w:val="center"/>
          </w:tcPr>
          <w:p>
            <w:pPr>
              <w:pStyle w:val="TableContents"/>
              <w:bidi w:val="0"/>
              <w:spacing w:before="0" w:after="283"/>
              <w:jc w:val="center"/>
              <w:rPr>
                <w:b/>
              </w:rPr>
            </w:pPr>
            <w:r>
              <w:rPr>
                <w:b/>
              </w:rPr>
              <w:t>Votes in Favor</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8"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b/>
              </w:rPr>
            </w:pPr>
            <w:r>
              <w:rPr>
                <w:b/>
              </w:rPr>
              <w:t>Abstentions</w:t>
            </w:r>
          </w:p>
        </w:tc>
        <w:tc>
          <w:tcPr>
            <w:tcW w:w="75" w:type="dxa"/>
            <w:tcBorders/>
            <w:tcMar>
              <w:bottom w:w="0" w:type="dxa"/>
            </w:tcMar>
            <w:vAlign w:val="center"/>
          </w:tcPr>
          <w:p>
            <w:pPr>
              <w:pStyle w:val="TableContents"/>
              <w:bidi w:val="0"/>
              <w:spacing w:before="0" w:after="283"/>
              <w:jc w:val="center"/>
              <w:rPr/>
            </w:pPr>
            <w:r>
              <w:rPr/>
              <w:t> </w:t>
            </w:r>
          </w:p>
        </w:tc>
      </w:tr>
      <w:tr>
        <w:trPr/>
        <w:tc>
          <w:tcPr>
            <w:tcW w:w="1820" w:type="dxa"/>
            <w:tcBorders/>
            <w:shd w:fill="CCEEFF" w:val="clear"/>
            <w:tcMar>
              <w:bottom w:w="0" w:type="dxa"/>
            </w:tcMar>
            <w:vAlign w:val="center"/>
          </w:tcPr>
          <w:p>
            <w:pPr>
              <w:pStyle w:val="TableContents"/>
              <w:bidi w:val="0"/>
              <w:spacing w:before="0" w:after="283"/>
              <w:jc w:val="center"/>
              <w:rPr/>
            </w:pPr>
            <w:r>
              <w:rPr/>
              <w:t>6,115,519 (99.5%)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33,681(0.5%)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59,265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tLeast" w:line="250"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tally on Proposal 3 also achieved the requisite special majority under the Companies Law, as a majority of shareholders (excluding abstentions) who (i) were not controlling shareholders and (ii) lacked a “personal interest” (as defined under the Companies Law) voted in favor of Proposal 3, as reflected in the below tally among those shareholders:</w:t>
      </w:r>
    </w:p>
    <w:p>
      <w:pPr>
        <w:pStyle w:val="TextBody"/>
        <w:bidi w:val="0"/>
        <w:spacing w:before="0" w:after="0"/>
        <w:ind w:left="0" w:right="0" w:firstLine="720"/>
        <w:jc w:val="both"/>
        <w:rPr>
          <w:caps w:val="false"/>
          <w:smallCaps w:val="false"/>
        </w:rPr>
      </w:pPr>
      <w:r>
        <w:rPr>
          <w:caps w:val="false"/>
          <w:smallCaps w:val="false"/>
        </w:rPr>
        <w:t> </w:t>
      </w:r>
    </w:p>
    <w:tbl>
      <w:tblPr>
        <w:tblW w:w="3325" w:type="dxa"/>
        <w:jc w:val="left"/>
        <w:tblInd w:w="0" w:type="dxa"/>
        <w:tblLayout w:type="fixed"/>
        <w:tblCellMar>
          <w:top w:w="0" w:type="dxa"/>
          <w:left w:w="0" w:type="dxa"/>
          <w:bottom w:w="28" w:type="dxa"/>
          <w:right w:w="0" w:type="dxa"/>
        </w:tblCellMar>
      </w:tblPr>
      <w:tblGrid>
        <w:gridCol w:w="1820"/>
        <w:gridCol w:w="60"/>
        <w:gridCol w:w="1445"/>
      </w:tblGrid>
      <w:tr>
        <w:trPr/>
        <w:tc>
          <w:tcPr>
            <w:tcW w:w="1820" w:type="dxa"/>
            <w:tcBorders>
              <w:bottom w:val="single" w:sz="8" w:space="0" w:color="000000"/>
            </w:tcBorders>
            <w:vAlign w:val="center"/>
          </w:tcPr>
          <w:p>
            <w:pPr>
              <w:pStyle w:val="TableContents"/>
              <w:bidi w:val="0"/>
              <w:spacing w:before="0" w:after="283"/>
              <w:jc w:val="center"/>
              <w:rPr>
                <w:b/>
              </w:rPr>
            </w:pPr>
            <w:r>
              <w:rPr>
                <w:b/>
              </w:rPr>
              <w:t>Votes in Favor</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b/>
              </w:rPr>
            </w:pPr>
            <w:r>
              <w:rPr>
                <w:b/>
              </w:rPr>
              <w:t>Votes Against</w:t>
            </w:r>
          </w:p>
        </w:tc>
      </w:tr>
      <w:tr>
        <w:trPr/>
        <w:tc>
          <w:tcPr>
            <w:tcW w:w="1820" w:type="dxa"/>
            <w:tcBorders/>
            <w:shd w:fill="CCEEFF" w:val="clear"/>
            <w:tcMar>
              <w:bottom w:w="0" w:type="dxa"/>
            </w:tcMar>
            <w:vAlign w:val="center"/>
          </w:tcPr>
          <w:p>
            <w:pPr>
              <w:pStyle w:val="TableContents"/>
              <w:bidi w:val="0"/>
              <w:spacing w:before="0" w:after="283"/>
              <w:jc w:val="center"/>
              <w:rPr/>
            </w:pPr>
            <w:r>
              <w:rPr/>
              <w:t>6,093,382 (99.5%)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center"/>
              <w:rPr/>
            </w:pPr>
            <w:r>
              <w:rPr/>
              <w:t>33,681 (0.5%)</w:t>
            </w:r>
          </w:p>
        </w:tc>
      </w:tr>
    </w:tbl>
    <w:p>
      <w:pPr>
        <w:pStyle w:val="TextBody"/>
        <w:bidi w:val="0"/>
        <w:spacing w:lineRule="atLeast" w:line="250" w:before="0" w:after="0"/>
        <w:ind w:left="0" w:right="0" w:hanging="0"/>
        <w:jc w:val="left"/>
        <w:rPr>
          <w:caps w:val="false"/>
          <w:smallCaps w:val="false"/>
        </w:rPr>
      </w:pPr>
      <w:r>
        <w:rPr>
          <w:caps w:val="false"/>
          <w:smallCaps w:val="false"/>
        </w:rPr>
        <w:t> </w:t>
      </w:r>
    </w:p>
    <w:p>
      <w:pPr>
        <w:pStyle w:val="TextBody"/>
        <w:bidi w:val="0"/>
        <w:spacing w:lineRule="atLeast" w:line="250"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bidi w:val="0"/>
        <w:spacing w:lineRule="atLeast" w:line="250" w:before="0" w:after="0"/>
        <w:ind w:left="0" w:right="0" w:hanging="0"/>
        <w:jc w:val="left"/>
        <w:rPr>
          <w:caps w:val="false"/>
          <w:smallCaps w:val="false"/>
        </w:rPr>
      </w:pPr>
      <w:r>
        <w:rPr>
          <w:caps w:val="false"/>
          <w:smallCaps w:val="false"/>
        </w:rPr>
        <w:t> </w:t>
      </w:r>
    </w:p>
    <w:p>
      <w:pPr>
        <w:pStyle w:val="TextBody"/>
        <w:bidi w:val="0"/>
        <w:spacing w:lineRule="atLeast" w:line="250" w:before="0" w:after="0"/>
        <w:ind w:left="0" w:right="0" w:firstLine="720"/>
        <w:jc w:val="both"/>
        <w:rPr/>
      </w:pPr>
      <w:r>
        <w:rPr>
          <w:rFonts w:ascii="Times New Roman;Times;Serif" w:hAnsi="Times New Roman;Times;Serif"/>
          <w:b w:val="false"/>
          <w:i w:val="false"/>
          <w:caps w:val="false"/>
          <w:smallCaps w:val="false"/>
          <w:sz w:val="20"/>
        </w:rPr>
        <w:t xml:space="preserve">The contents of this Form 6-K (including the information contained in Exhibit 99.1) are hereby incorporated by reference into the Company’s Registration Statements on (i) Form S-8, filed with the Securities and Exchange Commission (the “SEC”) on </w:t>
      </w:r>
      <w:hyperlink r:id="rId2">
        <w:r>
          <w:rPr>
            <w:rStyle w:val="InternetLink"/>
            <w:rFonts w:ascii="Times New Roman;Times;Serif" w:hAnsi="Times New Roman;Times;Serif"/>
            <w:b w:val="false"/>
            <w:i w:val="false"/>
            <w:caps w:val="false"/>
            <w:smallCaps w:val="false"/>
            <w:sz w:val="20"/>
          </w:rPr>
          <w:t>April 28, 2014</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March 24, 2016</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March 19, 2018</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March 25, 2019</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February 25, 2020</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5, 2021</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August 9, 2022</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August 15, 2023</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19, 2025</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March 5, 2026</w:t>
        </w:r>
      </w:hyperlink>
      <w:r>
        <w:rPr>
          <w:rFonts w:ascii="Times New Roman;Times;Serif" w:hAnsi="Times New Roman;Times;Serif"/>
          <w:b w:val="false"/>
          <w:i w:val="false"/>
          <w:caps w:val="false"/>
          <w:smallCaps w:val="false"/>
          <w:sz w:val="20"/>
        </w:rPr>
        <w:t xml:space="preserve"> (Registration Nos. 333-195517, 333-210375, 333-223767, 333-230487, 333-236635, 333-255784, 333-266697, 333-273997, 333-285897, and 333-294055, respectively), and (ii) Form F-3, filed with the SEC on </w:t>
      </w:r>
      <w:hyperlink r:id="rId12">
        <w:r>
          <w:rPr>
            <w:rStyle w:val="InternetLink"/>
            <w:rFonts w:ascii="Times New Roman;Times;Serif" w:hAnsi="Times New Roman;Times;Serif"/>
            <w:b w:val="false"/>
            <w:i w:val="false"/>
            <w:caps w:val="false"/>
            <w:smallCaps w:val="false"/>
            <w:sz w:val="20"/>
          </w:rPr>
          <w:t>August 29, 2024</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March 19, 2025</w:t>
        </w:r>
      </w:hyperlink>
      <w:r>
        <w:rPr>
          <w:rFonts w:ascii="Times New Roman;Times;Serif" w:hAnsi="Times New Roman;Times;Serif"/>
          <w:b w:val="false"/>
          <w:i w:val="false"/>
          <w:caps w:val="false"/>
          <w:smallCaps w:val="false"/>
          <w:sz w:val="20"/>
        </w:rPr>
        <w:t xml:space="preserve"> (Registration Nos. 333-281843 and 333-285908, respectively).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lineRule="atLeast" w:line="250"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lineRule="atLeast" w:line="250" w:before="0" w:after="0"/>
        <w:ind w:left="0" w:right="0" w:hanging="0"/>
        <w:jc w:val="center"/>
        <w:rPr>
          <w:caps w:val="false"/>
          <w:smallCaps w:val="false"/>
        </w:rPr>
      </w:pPr>
      <w:r>
        <w:rPr>
          <w:caps w:val="false"/>
          <w:smallCaps w:val="false"/>
        </w:rPr>
        <w:t> </w:t>
      </w:r>
    </w:p>
    <w:p>
      <w:pPr>
        <w:pStyle w:val="TextBody"/>
        <w:bidi w:val="0"/>
        <w:spacing w:lineRule="atLeast" w:line="25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tLeast" w:line="250" w:before="0" w:after="0"/>
        <w:ind w:left="0" w:right="0" w:firstLine="72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20"/>
        <w:gridCol w:w="2390"/>
      </w:tblGrid>
      <w:tr>
        <w:trPr/>
        <w:tc>
          <w:tcPr>
            <w:tcW w:w="1820" w:type="dxa"/>
            <w:tcBorders/>
            <w:vAlign w:val="center"/>
          </w:tcPr>
          <w:p>
            <w:pPr>
              <w:pStyle w:val="TableContents"/>
              <w:bidi w:val="0"/>
              <w:spacing w:before="0" w:after="283"/>
              <w:jc w:val="left"/>
              <w:rPr/>
            </w:pPr>
            <w:r>
              <w:rPr/>
              <w:t>Date: May 6, 2026</w:t>
            </w:r>
          </w:p>
        </w:tc>
        <w:tc>
          <w:tcPr>
            <w:tcW w:w="2390" w:type="dxa"/>
            <w:tcBorders/>
            <w:vAlign w:val="center"/>
          </w:tcPr>
          <w:p>
            <w:pPr>
              <w:pStyle w:val="TableContents"/>
              <w:bidi w:val="0"/>
              <w:spacing w:lineRule="atLeast" w:line="25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MEDIWOUND LTD.</w:t>
            </w:r>
          </w:p>
          <w:p>
            <w:pPr>
              <w:pStyle w:val="TableContents"/>
              <w:bidi w:val="0"/>
              <w:spacing w:lineRule="atLeast" w:line="250" w:before="0" w:after="0"/>
              <w:ind w:left="0" w:right="0" w:hanging="0"/>
              <w:jc w:val="left"/>
              <w:rPr>
                <w:caps w:val="false"/>
                <w:smallCaps w:val="false"/>
              </w:rPr>
            </w:pPr>
            <w:r>
              <w:rPr>
                <w:caps w:val="false"/>
                <w:smallCaps w:val="false"/>
              </w:rPr>
              <w:t> </w:t>
            </w:r>
          </w:p>
          <w:p>
            <w:pPr>
              <w:pStyle w:val="TableContents"/>
              <w:bidi w:val="0"/>
              <w:spacing w:lineRule="atLeast" w:line="25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Hani Luxenburg</w:t>
            </w:r>
          </w:p>
          <w:p>
            <w:pPr>
              <w:pStyle w:val="TableContents"/>
              <w:bidi w:val="0"/>
              <w:spacing w:lineRule="atLeast" w:line="25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Hani Luxenburg</w:t>
            </w:r>
          </w:p>
          <w:p>
            <w:pPr>
              <w:pStyle w:val="TableContents"/>
              <w:bidi w:val="0"/>
              <w:spacing w:lineRule="atLeast" w:line="25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lineRule="atLeast" w:line="250" w:before="0" w:after="0"/>
        <w:ind w:left="0" w:right="0" w:firstLine="720"/>
        <w:jc w:val="both"/>
        <w:rPr>
          <w:caps w:val="false"/>
          <w:smallCaps w:val="false"/>
        </w:rPr>
      </w:pPr>
      <w:r>
        <w:rPr>
          <w:caps w:val="false"/>
          <w:smallCaps w:val="false"/>
        </w:rPr>
        <w:t> </w:t>
      </w:r>
    </w:p>
    <w:p>
      <w:pPr>
        <w:pStyle w:val="TextBody"/>
        <w:bidi w:val="0"/>
        <w:spacing w:before="0" w:after="283"/>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3984/000110465914031207/a14-10511_1s8.htm" TargetMode="External"/><Relationship Id="rId3" Type="http://schemas.openxmlformats.org/officeDocument/2006/relationships/hyperlink" Target="https://www.sec.gov/Archives/edgar/data/1593984/000117891316004839/zk1618260.htm" TargetMode="External"/><Relationship Id="rId4" Type="http://schemas.openxmlformats.org/officeDocument/2006/relationships/hyperlink" Target="https://www.sec.gov/Archives/edgar/data/1593984/000117891318000892/zk1821375.htm" TargetMode="External"/><Relationship Id="rId5" Type="http://schemas.openxmlformats.org/officeDocument/2006/relationships/hyperlink" Target="https://www.sec.gov/Archives/edgar/data/1593984/000117891319000920/zk1922839.htm" TargetMode="External"/><Relationship Id="rId6" Type="http://schemas.openxmlformats.org/officeDocument/2006/relationships/hyperlink" Target="https://www.sec.gov/Archives/edgar/data/1593984/000117891320000651/zk2024097.htm" TargetMode="External"/><Relationship Id="rId7" Type="http://schemas.openxmlformats.org/officeDocument/2006/relationships/hyperlink" Target="https://www.sec.gov/Archives/edgar/data/1593984/000117891321001607/zk2125979.htm" TargetMode="External"/><Relationship Id="rId8" Type="http://schemas.openxmlformats.org/officeDocument/2006/relationships/hyperlink" Target="https://www.sec.gov/Archives/edgar/data/1593984/000117891322003017/zk2228300.htm" TargetMode="External"/><Relationship Id="rId9" Type="http://schemas.openxmlformats.org/officeDocument/2006/relationships/hyperlink" Target="https://www.sec.gov/Archives/edgar/data/1593984/000117891323002887/zk2330173.htm" TargetMode="External"/><Relationship Id="rId10" Type="http://schemas.openxmlformats.org/officeDocument/2006/relationships/hyperlink" Target="https://www.sec.gov/Archives/edgar/data/1593984/000117891325000936/zk2532882.htm" TargetMode="External"/><Relationship Id="rId11" Type="http://schemas.openxmlformats.org/officeDocument/2006/relationships/hyperlink" Target="https://www.sec.gov/Archives/edgar/data/1593984/000117891326000755/zk2634485.htm" TargetMode="External"/><Relationship Id="rId12" Type="http://schemas.openxmlformats.org/officeDocument/2006/relationships/hyperlink" Target="https://www.sec.gov/Archives/edgar/data/1593984/000117891324002891/zk2431906.htm" TargetMode="External"/><Relationship Id="rId13" Type="http://schemas.openxmlformats.org/officeDocument/2006/relationships/hyperlink" Target="https://www.sec.gov/Archives/edgar/data/1593984/000117891325000949/a2532885.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4014</Characters>
  <CharactersWithSpaces>4756</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